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Информация о программах повышения квалификации 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«Пакет офисных приложений «МойОфис стандартный»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 xml:space="preserve">в профессиональной деятельности» и «Электронные ресурсы МГУ имени М.В.Ломоносова»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Информация о программе повышения квалификации </w:t>
        <w:br/>
        <w:t xml:space="preserve"> «Пакет офисных приложений «МойОфис стандартный» </w:t>
        <w:br/>
        <w:t xml:space="preserve"> в профессиональной деятельности» (16 часов)</w:t>
      </w:r>
      <w:r/>
    </w:p>
    <w:p>
      <w:pPr>
        <w:ind w:left="0" w:right="0" w:firstLine="0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рамках соглашения о сотрудничестве между МГУ имени М.В.Ломоносова и российской компанией-разработчиком офисного программного обеспечения «МойОфис» (ООО «Новые облачные технологии») разработчик предоставил МГУ 6 тысяч лицензий на 3 года на программное обе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спечение для внедрения в инфраструктуру вуза для перехода на отечественное ПО.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Центром развития электронных образовательных ресурсов МГУ (ЦРЭОР МГУ) совместно с «МойОфис» разработана программа повышения квалификации «Пакет офисных приложений «МойОфис стандартный» в профессиональной деятельности» объемом 16 академических часов. Данная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программа позволит сотрудникам овладеть навыками работы с отечественным офисным пакетом программ для совершенствования компетенции умения применять средства информационно-коммуникационных технологий в решении профессиональных задач, в том числе в контекст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цифровизации университета.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Обучение по программе проводится на платформе «Университет без границ» с использованием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дистанционных образовательных технологий и электронного обучения. Ссылка на курс:</w:t>
      </w:r>
      <w:hyperlink r:id="rId9" w:tooltip="https://distant.msu.ru/myoffice" w:history="1">
        <w:r>
          <w:rPr>
            <w:rStyle w:val="857"/>
            <w:rFonts w:ascii="Times New Roman" w:hAnsi="Times New Roman" w:eastAsia="Times New Roman" w:cs="Times New Roman"/>
            <w:color w:val="0000ff"/>
            <w:spacing w:val="-2"/>
            <w:sz w:val="28"/>
            <w:u w:val="single"/>
          </w:rPr>
          <w:t xml:space="preserve">https://distant.msu.ru/myoffice</w:t>
        </w:r>
      </w:hyperlink>
      <w:r/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Возможность пройти обучение по программе будет предоставлена с апреля по декабрь 2024 года. Проведение аттестации планируется по мере формирования групп для аттестации, но не реже одного раза в 2 месяца.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 w:clear="all"/>
      </w:r>
      <w:r/>
    </w:p>
    <w:p>
      <w:pPr>
        <w:ind w:left="0" w:right="0" w:firstLine="709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«Электронные ресурсы МГУ имени М.В.Ломоносова» (16 часов)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Цель программы - познакомить слушателей с электронными ресурсами МГУ имени М.В.Ломоносова, а также возможными моделями их применения в учебной, научной и административной деятельности.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Слушатели получат навыки организации аккаунтов с доступом к сервисам и приложениям Яндекс.360 (корпоративная почта @my.msu.ru, «Яндекс.Трекер», «Яндекс.Телемост») для их использования, навыки работы с видеоконференциями «BigBlueButton» и «Vinteo», а также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навыки проектирования учебного процесса и иной профессиональной деятельности с учетом особенностей платформ «Открытое образование», «Университет без границ» и системы управления учебным процессом (LMSMoodle), что позволит оптимизировать трудовую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ть и перевести в цифровой формат ряд рабочих процессов.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Обучение по программе проводится на платформе «Университет без границ» с использованием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дистанционных образовательных технологий и электронного обучения. Ссылка на курс:</w:t>
      </w:r>
      <w:hyperlink r:id="rId10" w:tooltip="https://distant.msu.ru/digital" w:history="1">
        <w:r>
          <w:rPr>
            <w:rStyle w:val="857"/>
            <w:rFonts w:ascii="Times New Roman" w:hAnsi="Times New Roman" w:eastAsia="Times New Roman" w:cs="Times New Roman"/>
            <w:color w:val="0000ff"/>
            <w:spacing w:val="-2"/>
            <w:sz w:val="28"/>
            <w:u w:val="single"/>
          </w:rPr>
          <w:t xml:space="preserve">https://distant.msu.ru/digital</w:t>
        </w:r>
      </w:hyperlink>
      <w:r/>
      <w:r/>
    </w:p>
    <w:p>
      <w:pPr>
        <w:ind w:left="0" w:right="0" w:firstLine="709"/>
        <w:jc w:val="both"/>
        <w:spacing w:line="65" w:lineRule="atLeas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Возможность пройти обучение по программе будет предоставлена с апреля по декабрь 2024 года. Проведение аттестации планируется по мере формирования групп для аттестации, но не реже одного раза в 2 месяца.</w:t>
      </w:r>
      <w:r/>
      <w:r/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none"/>
        </w:rPr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Ддля прохождения обучения по программам следует: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pStyle w:val="675"/>
        <w:numPr>
          <w:ilvl w:val="0"/>
          <w:numId w:val="3"/>
        </w:numPr>
        <w:ind w:right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зарегистрироваться на портале «Университет без границ» distant.msu.ru с адресом служебной электронной почты – в домене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msu.ru (например physics.msu.ru или my.msu.ru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), указанной в списке от кафедры. Только по этой электронной почте Вас смогут зачислить на программу и обучить за счет университета  – бесплатно. Если слушатель уже был зарегистрирован на портале можно изменить адрес электронной почт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ы, указанный в профиле пользователя или проследить, чтобы кафедра подала верный адрес как актуальный в списках на зачисление). </w:t>
      </w:r>
      <w:r/>
    </w:p>
    <w:p>
      <w:pPr>
        <w:pStyle w:val="675"/>
        <w:numPr>
          <w:ilvl w:val="0"/>
          <w:numId w:val="3"/>
        </w:numPr>
        <w:ind w:right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Дождаться оповещения о получении доступа на электронную почту, указанную в заявке. Доступ к материалам курса с возможностью прохождения итоговой аттестации будет предоставлен на основании заявки факультета (списков от кафедр), где работает слушатель, с пер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ечнем сотрудников, направляемых на обучение.</w:t>
      </w:r>
      <w:r/>
    </w:p>
    <w:p>
      <w:pPr>
        <w:pStyle w:val="675"/>
        <w:numPr>
          <w:ilvl w:val="0"/>
          <w:numId w:val="3"/>
        </w:numPr>
        <w:ind w:right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После получения доступа к материалам курса необходимо выполнить следующие действия: ознакомиться с материалами лекций, после чего выполнить все тесты и практические работы (семинары).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После успешного выполнения всех заданий:</w:t>
      </w:r>
      <w:r/>
    </w:p>
    <w:p>
      <w:pPr>
        <w:pStyle w:val="675"/>
        <w:numPr>
          <w:ilvl w:val="0"/>
          <w:numId w:val="4"/>
        </w:numPr>
        <w:ind w:right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Записаться на аттестацию;</w:t>
      </w:r>
      <w:r/>
    </w:p>
    <w:p>
      <w:pPr>
        <w:pStyle w:val="675"/>
        <w:numPr>
          <w:ilvl w:val="0"/>
          <w:numId w:val="4"/>
        </w:numPr>
        <w:ind w:right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Пройти аттестацию.</w:t>
      </w:r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ВНИМАНИЕ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— по запросу ответственных лиц факультета необходимо будет заполнить заявление о зачислении на программу и анкету, предоставить им копии необходимых документов (диплома и др.).</w:t>
      </w: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</w:rPr>
        <w:t xml:space="preserve">Без этих сведений факультет на сможет выдать удостоверение о повышении квалификации и обучение не будет засчитано как повышение квалификации.</w:t>
      </w:r>
      <w:r/>
    </w:p>
    <w:p>
      <w:pPr>
        <w:ind w:left="0" w:right="0" w:firstLine="709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</w:rPr>
      </w:r>
      <w:r/>
    </w:p>
    <w:p>
      <w:pPr>
        <w:pStyle w:val="830"/>
        <w:ind w:firstLine="709"/>
        <w:jc w:val="both"/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MS Mincho;ＭＳ 明朝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3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pacing w:val="-2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-2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-2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link w:val="83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link w:val="832"/>
    <w:uiPriority w:val="9"/>
    <w:rPr>
      <w:rFonts w:ascii="Arial" w:hAnsi="Arial" w:eastAsia="Arial" w:cs="Arial"/>
      <w:sz w:val="34"/>
    </w:rPr>
  </w:style>
  <w:style w:type="character" w:styleId="664">
    <w:name w:val="Heading 3 Char"/>
    <w:link w:val="83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link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link w:val="83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0"/>
    <w:next w:val="830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0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0"/>
    <w:next w:val="830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0"/>
    <w:next w:val="830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0"/>
    <w:next w:val="830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0"/>
    <w:next w:val="830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link w:val="872"/>
    <w:uiPriority w:val="99"/>
  </w:style>
  <w:style w:type="character" w:styleId="686">
    <w:name w:val="Footer Char"/>
    <w:link w:val="873"/>
    <w:uiPriority w:val="99"/>
  </w:style>
  <w:style w:type="character" w:styleId="687">
    <w:name w:val="Caption Char"/>
    <w:basedOn w:val="865"/>
    <w:link w:val="873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0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0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widowControl/>
    </w:pPr>
    <w:rPr>
      <w:rFonts w:ascii="Times New Roman" w:hAnsi="Times New Roman" w:eastAsia="MS Mincho;ＭＳ 明朝" w:cs="Times New Roman"/>
      <w:color w:val="auto"/>
      <w:sz w:val="24"/>
      <w:szCs w:val="24"/>
      <w:lang w:val="ru-RU" w:eastAsia="zh-CN" w:bidi="ar-SA"/>
    </w:rPr>
  </w:style>
  <w:style w:type="paragraph" w:styleId="831">
    <w:name w:val="Heading 1"/>
    <w:basedOn w:val="830"/>
    <w:next w:val="830"/>
    <w:qFormat/>
    <w:pPr>
      <w:numPr>
        <w:ilvl w:val="0"/>
        <w:numId w:val="1"/>
      </w:numPr>
      <w:ind w:right="5395" w:firstLine="0"/>
      <w:jc w:val="center"/>
      <w:keepNext/>
      <w:outlineLvl w:val="0"/>
    </w:pPr>
    <w:rPr>
      <w:b/>
      <w:bCs/>
      <w:sz w:val="28"/>
    </w:rPr>
  </w:style>
  <w:style w:type="paragraph" w:styleId="832">
    <w:name w:val="Heading 2"/>
    <w:basedOn w:val="830"/>
    <w:next w:val="830"/>
    <w:qFormat/>
    <w:pPr>
      <w:numPr>
        <w:ilvl w:val="1"/>
        <w:numId w:val="1"/>
      </w:numPr>
      <w:jc w:val="center"/>
      <w:keepNext/>
      <w:outlineLvl w:val="1"/>
    </w:pPr>
    <w:rPr>
      <w:b/>
      <w:bCs/>
      <w:sz w:val="20"/>
    </w:rPr>
  </w:style>
  <w:style w:type="paragraph" w:styleId="833">
    <w:name w:val="Heading 3"/>
    <w:basedOn w:val="830"/>
    <w:next w:val="830"/>
    <w:qFormat/>
    <w:pPr>
      <w:numPr>
        <w:ilvl w:val="2"/>
        <w:numId w:val="1"/>
      </w:numPr>
      <w:jc w:val="center"/>
      <w:keepNext/>
      <w:outlineLvl w:val="2"/>
    </w:pPr>
    <w:rPr>
      <w:b/>
      <w:bCs/>
    </w:rPr>
  </w:style>
  <w:style w:type="paragraph" w:styleId="834">
    <w:name w:val="Heading 4"/>
    <w:basedOn w:val="830"/>
    <w:next w:val="830"/>
    <w:qFormat/>
    <w:pPr>
      <w:numPr>
        <w:ilvl w:val="3"/>
        <w:numId w:val="1"/>
      </w:numPr>
      <w:jc w:val="center"/>
      <w:keepNext/>
      <w:outlineLvl w:val="3"/>
    </w:pPr>
    <w:rPr>
      <w:b/>
      <w:bCs/>
      <w:sz w:val="28"/>
    </w:rPr>
  </w:style>
  <w:style w:type="paragraph" w:styleId="835">
    <w:name w:val="Heading 5"/>
    <w:basedOn w:val="830"/>
    <w:next w:val="830"/>
    <w:qFormat/>
    <w:pPr>
      <w:numPr>
        <w:ilvl w:val="4"/>
        <w:numId w:val="1"/>
      </w:numPr>
      <w:ind w:right="1080" w:firstLine="0"/>
      <w:jc w:val="center"/>
      <w:keepNext/>
      <w:spacing w:line="360" w:lineRule="auto"/>
      <w:outlineLvl w:val="4"/>
    </w:pPr>
    <w:rPr>
      <w:b/>
      <w:bCs/>
      <w:sz w:val="28"/>
    </w:rPr>
  </w:style>
  <w:style w:type="character" w:styleId="836">
    <w:name w:val="WW8Num1z0"/>
    <w:qFormat/>
  </w:style>
  <w:style w:type="character" w:styleId="837">
    <w:name w:val="WW8Num1z1"/>
    <w:qFormat/>
    <w:rPr>
      <w:rFonts w:ascii="Courier New" w:hAnsi="Courier New" w:cs="Courier New"/>
    </w:rPr>
  </w:style>
  <w:style w:type="character" w:styleId="838">
    <w:name w:val="WW8Num1z2"/>
    <w:qFormat/>
    <w:rPr>
      <w:rFonts w:ascii="Wingdings" w:hAnsi="Wingdings" w:cs="Wingdings"/>
    </w:rPr>
  </w:style>
  <w:style w:type="character" w:styleId="839">
    <w:name w:val="WW8Num1z3"/>
    <w:qFormat/>
    <w:rPr>
      <w:rFonts w:ascii="Symbol" w:hAnsi="Symbol" w:cs="Symbol"/>
    </w:rPr>
  </w:style>
  <w:style w:type="character" w:styleId="840">
    <w:name w:val="WW8Num3z0"/>
    <w:qFormat/>
    <w:rPr>
      <w:rFonts w:ascii="Symbol" w:hAnsi="Symbol" w:cs="Symbol"/>
    </w:rPr>
  </w:style>
  <w:style w:type="character" w:styleId="841">
    <w:name w:val="WW8Num3z1"/>
    <w:qFormat/>
    <w:rPr>
      <w:rFonts w:ascii="Courier New" w:hAnsi="Courier New" w:cs="Courier New"/>
    </w:rPr>
  </w:style>
  <w:style w:type="character" w:styleId="842">
    <w:name w:val="WW8Num3z2"/>
    <w:qFormat/>
    <w:rPr>
      <w:rFonts w:ascii="Wingdings" w:hAnsi="Wingdings" w:cs="Wingdings"/>
    </w:rPr>
  </w:style>
  <w:style w:type="character" w:styleId="843">
    <w:name w:val="WW8Num4z0"/>
    <w:qFormat/>
    <w:rPr>
      <w:rFonts w:ascii="Symbol" w:hAnsi="Symbol" w:cs="Symbol"/>
    </w:rPr>
  </w:style>
  <w:style w:type="character" w:styleId="844">
    <w:name w:val="WW8Num4z1"/>
    <w:qFormat/>
    <w:rPr>
      <w:rFonts w:ascii="Courier New" w:hAnsi="Courier New" w:cs="Courier New"/>
    </w:rPr>
  </w:style>
  <w:style w:type="character" w:styleId="845">
    <w:name w:val="WW8Num4z2"/>
    <w:qFormat/>
    <w:rPr>
      <w:rFonts w:ascii="Wingdings" w:hAnsi="Wingdings" w:cs="Wingdings"/>
    </w:rPr>
  </w:style>
  <w:style w:type="character" w:styleId="846">
    <w:name w:val="WW8Num5z0"/>
    <w:qFormat/>
  </w:style>
  <w:style w:type="character" w:styleId="847">
    <w:name w:val="WW8Num8z0"/>
    <w:qFormat/>
    <w:rPr>
      <w:rFonts w:ascii="Symbol" w:hAnsi="Symbol" w:cs="Symbol"/>
    </w:rPr>
  </w:style>
  <w:style w:type="character" w:styleId="848">
    <w:name w:val="WW8Num8z1"/>
    <w:qFormat/>
    <w:rPr>
      <w:rFonts w:ascii="Courier New" w:hAnsi="Courier New" w:cs="Courier New"/>
    </w:rPr>
  </w:style>
  <w:style w:type="character" w:styleId="849">
    <w:name w:val="WW8Num8z2"/>
    <w:qFormat/>
    <w:rPr>
      <w:rFonts w:ascii="Wingdings" w:hAnsi="Wingdings" w:cs="Wingdings"/>
    </w:rPr>
  </w:style>
  <w:style w:type="character" w:styleId="850">
    <w:name w:val="WW8Num9z0"/>
    <w:qFormat/>
  </w:style>
  <w:style w:type="character" w:styleId="851">
    <w:name w:val="WW8Num10z0"/>
    <w:qFormat/>
  </w:style>
  <w:style w:type="character" w:styleId="852">
    <w:name w:val="WW8Num11z0"/>
    <w:qFormat/>
  </w:style>
  <w:style w:type="character" w:styleId="853">
    <w:name w:val="WW8Num12z0"/>
    <w:qFormat/>
    <w:rPr>
      <w:rFonts w:ascii="Symbol" w:hAnsi="Symbol" w:cs="Symbol"/>
    </w:rPr>
  </w:style>
  <w:style w:type="character" w:styleId="854">
    <w:name w:val="WW8Num12z1"/>
    <w:qFormat/>
    <w:rPr>
      <w:rFonts w:ascii="Courier New" w:hAnsi="Courier New" w:cs="Courier New"/>
    </w:rPr>
  </w:style>
  <w:style w:type="character" w:styleId="855">
    <w:name w:val="WW8Num12z2"/>
    <w:qFormat/>
    <w:rPr>
      <w:rFonts w:ascii="Wingdings" w:hAnsi="Wingdings" w:cs="Wingdings"/>
    </w:rPr>
  </w:style>
  <w:style w:type="character" w:styleId="856">
    <w:name w:val="Основной шрифт абзаца"/>
    <w:qFormat/>
  </w:style>
  <w:style w:type="character" w:styleId="857">
    <w:name w:val="Hyperlink"/>
    <w:rPr>
      <w:color w:val="0000ff"/>
      <w:u w:val="single"/>
    </w:rPr>
  </w:style>
  <w:style w:type="character" w:styleId="858">
    <w:name w:val="Текст выноски Знак"/>
    <w:qFormat/>
    <w:rPr>
      <w:rFonts w:ascii="Tahoma" w:hAnsi="Tahoma" w:cs="Tahoma"/>
      <w:sz w:val="16"/>
      <w:szCs w:val="16"/>
    </w:rPr>
  </w:style>
  <w:style w:type="character" w:styleId="859">
    <w:name w:val="Верхний колонтитул Знак"/>
    <w:qFormat/>
    <w:rPr>
      <w:sz w:val="24"/>
      <w:szCs w:val="24"/>
    </w:rPr>
  </w:style>
  <w:style w:type="character" w:styleId="860">
    <w:name w:val="Нижний колонтитул Знак"/>
    <w:qFormat/>
    <w:rPr>
      <w:sz w:val="24"/>
      <w:szCs w:val="24"/>
    </w:rPr>
  </w:style>
  <w:style w:type="character" w:styleId="861">
    <w:name w:val="Основной текст с отступом 2 Знак"/>
    <w:qFormat/>
    <w:rPr>
      <w:rFonts w:eastAsia="Times New Roman"/>
      <w:sz w:val="24"/>
      <w:szCs w:val="24"/>
    </w:rPr>
  </w:style>
  <w:style w:type="paragraph" w:styleId="862">
    <w:name w:val="Heading"/>
    <w:basedOn w:val="830"/>
    <w:next w:val="86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3">
    <w:name w:val="Body Text"/>
    <w:basedOn w:val="830"/>
    <w:pPr>
      <w:jc w:val="center"/>
    </w:pPr>
    <w:rPr>
      <w:b/>
      <w:bCs/>
      <w:sz w:val="26"/>
    </w:rPr>
  </w:style>
  <w:style w:type="paragraph" w:styleId="864">
    <w:name w:val="List"/>
    <w:basedOn w:val="863"/>
  </w:style>
  <w:style w:type="paragraph" w:styleId="865">
    <w:name w:val="Caption"/>
    <w:basedOn w:val="83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6">
    <w:name w:val="Index"/>
    <w:basedOn w:val="830"/>
    <w:qFormat/>
    <w:pPr>
      <w:suppressLineNumbers/>
    </w:pPr>
  </w:style>
  <w:style w:type="paragraph" w:styleId="867">
    <w:name w:val="Envelope Address"/>
    <w:basedOn w:val="830"/>
    <w:pPr>
      <w:ind w:left="2880" w:firstLine="0"/>
    </w:pPr>
    <w:rPr>
      <w:rFonts w:ascii="Arial" w:hAnsi="Arial" w:cs="Arial"/>
      <w:b/>
      <w:sz w:val="36"/>
    </w:rPr>
  </w:style>
  <w:style w:type="paragraph" w:styleId="868">
    <w:name w:val="toc 1"/>
    <w:basedOn w:val="830"/>
    <w:next w:val="830"/>
    <w:pPr>
      <w:jc w:val="right"/>
      <w:keepNext/>
    </w:pPr>
  </w:style>
  <w:style w:type="paragraph" w:styleId="869">
    <w:name w:val="Название объекта"/>
    <w:basedOn w:val="830"/>
    <w:next w:val="830"/>
    <w:qFormat/>
    <w:rPr>
      <w:b/>
      <w:bCs/>
    </w:rPr>
  </w:style>
  <w:style w:type="paragraph" w:styleId="870">
    <w:name w:val="Текст выноски"/>
    <w:basedOn w:val="830"/>
    <w:qFormat/>
    <w:rPr>
      <w:rFonts w:ascii="Tahoma" w:hAnsi="Tahoma" w:cs="Tahoma"/>
      <w:sz w:val="16"/>
      <w:szCs w:val="16"/>
      <w:lang w:val="en-US"/>
    </w:rPr>
  </w:style>
  <w:style w:type="paragraph" w:styleId="871">
    <w:name w:val="Header and Footer"/>
    <w:basedOn w:val="83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2">
    <w:name w:val="Header"/>
    <w:basedOn w:val="83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3">
    <w:name w:val="Footer"/>
    <w:basedOn w:val="83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4">
    <w:name w:val="Основной текст с отступом 2"/>
    <w:basedOn w:val="830"/>
    <w:qFormat/>
    <w:pPr>
      <w:ind w:left="283" w:firstLine="0"/>
      <w:spacing w:before="0" w:after="120" w:line="480" w:lineRule="auto"/>
    </w:pPr>
    <w:rPr>
      <w:rFonts w:eastAsia="Times New Roman"/>
    </w:rPr>
  </w:style>
  <w:style w:type="paragraph" w:styleId="875">
    <w:name w:val="Абзац списка"/>
    <w:basedOn w:val="830"/>
    <w:qFormat/>
    <w:pPr>
      <w:contextualSpacing/>
      <w:ind w:left="72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numbering" w:styleId="876">
    <w:name w:val="WW8Num1"/>
    <w:qFormat/>
  </w:style>
  <w:style w:type="numbering" w:styleId="877">
    <w:name w:val="WW8Num2"/>
    <w:qFormat/>
  </w:style>
  <w:style w:type="numbering" w:styleId="878">
    <w:name w:val="WW8Num3"/>
    <w:qFormat/>
  </w:style>
  <w:style w:type="numbering" w:styleId="879">
    <w:name w:val="WW8Num4"/>
    <w:qFormat/>
  </w:style>
  <w:style w:type="numbering" w:styleId="880">
    <w:name w:val="WW8Num5"/>
    <w:qFormat/>
  </w:style>
  <w:style w:type="numbering" w:styleId="881">
    <w:name w:val="WW8Num6"/>
    <w:qFormat/>
  </w:style>
  <w:style w:type="numbering" w:styleId="882">
    <w:name w:val="WW8Num7"/>
    <w:qFormat/>
  </w:style>
  <w:style w:type="numbering" w:styleId="883">
    <w:name w:val="WW8Num8"/>
    <w:qFormat/>
  </w:style>
  <w:style w:type="numbering" w:styleId="884">
    <w:name w:val="WW8Num9"/>
    <w:qFormat/>
  </w:style>
  <w:style w:type="numbering" w:styleId="885">
    <w:name w:val="WW8Num10"/>
    <w:qFormat/>
  </w:style>
  <w:style w:type="numbering" w:styleId="886">
    <w:name w:val="WW8Num11"/>
    <w:qFormat/>
  </w:style>
  <w:style w:type="numbering" w:styleId="887">
    <w:name w:val="WW8Num12"/>
    <w:qFormat/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tant.msu.ru/myoffice" TargetMode="External"/><Relationship Id="rId10" Type="http://schemas.openxmlformats.org/officeDocument/2006/relationships/hyperlink" Target="https://distant.msu.ru/digit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dc:language>en-US</dc:language>
  <cp:lastModifiedBy>Полина Вшивцева</cp:lastModifiedBy>
  <cp:revision>10</cp:revision>
  <dcterms:created xsi:type="dcterms:W3CDTF">2024-04-04T11:52:00Z</dcterms:created>
  <dcterms:modified xsi:type="dcterms:W3CDTF">2024-04-15T16:10:48Z</dcterms:modified>
</cp:coreProperties>
</file>